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C9E5" w14:textId="77777777" w:rsidR="00E70F54" w:rsidRDefault="00E70F54">
      <w:pPr>
        <w:ind w:firstLine="720"/>
        <w:rPr>
          <w:b/>
          <w:bCs/>
        </w:rPr>
      </w:pPr>
    </w:p>
    <w:p w14:paraId="27691702" w14:textId="77777777" w:rsidR="00E70F54" w:rsidRDefault="00B25F29">
      <w:pPr>
        <w:rPr>
          <w:b/>
          <w:bCs/>
        </w:rPr>
      </w:pPr>
      <w:r>
        <w:rPr>
          <w:b/>
          <w:bCs/>
        </w:rPr>
        <w:t>ASC Member Service Agreement Template Checklist</w:t>
      </w:r>
    </w:p>
    <w:p w14:paraId="05A45FC7" w14:textId="77777777" w:rsidR="00E70F54" w:rsidRDefault="00E70F54">
      <w:pPr>
        <w:rPr>
          <w:b/>
          <w:bCs/>
        </w:rPr>
      </w:pPr>
    </w:p>
    <w:p w14:paraId="0DFB03AD" w14:textId="77777777" w:rsidR="00E70F54" w:rsidRDefault="00B25F2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Member Service Agreement Template Checklist was developed by the ASC Monitoring Tool Review Panel to use as a monitoring tool to ensure your AmeriCorps State programs have all the requirements</w:t>
      </w:r>
      <w:r>
        <w:rPr>
          <w:rFonts w:ascii="Cambria" w:eastAsia="Cambria" w:hAnsi="Cambria" w:cs="Cambria"/>
        </w:rPr>
        <w:t xml:space="preserve"> and best practices included as part of their member service agreements. You can edit this checklist as needed, provide it to your programs as a guide for developing their orientation agendas and use it as a monitoring tool.</w:t>
      </w:r>
    </w:p>
    <w:p w14:paraId="71C8C808" w14:textId="77777777" w:rsidR="00E70F54" w:rsidRDefault="00B25F2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With questions contact Rachel </w:t>
      </w:r>
      <w:r>
        <w:rPr>
          <w:rFonts w:ascii="Cambria" w:eastAsia="Cambria" w:hAnsi="Cambria" w:cs="Cambria"/>
        </w:rPr>
        <w:t xml:space="preserve">Bruns at </w:t>
      </w:r>
      <w:hyperlink r:id="rId9" w:history="1">
        <w:r>
          <w:rPr>
            <w:rStyle w:val="Hyperlink0"/>
          </w:rPr>
          <w:t>rbruns@asc-online.org</w:t>
        </w:r>
      </w:hyperlink>
      <w:r>
        <w:rPr>
          <w:rFonts w:ascii="Cambria" w:eastAsia="Cambria" w:hAnsi="Cambria" w:cs="Cambria"/>
        </w:rPr>
        <w:t xml:space="preserve">. </w:t>
      </w:r>
    </w:p>
    <w:p w14:paraId="3EAEBFFC" w14:textId="77777777" w:rsidR="00E70F54" w:rsidRDefault="00E70F54">
      <w:pPr>
        <w:ind w:firstLine="720"/>
        <w:rPr>
          <w:b/>
          <w:bCs/>
        </w:rPr>
      </w:pPr>
    </w:p>
    <w:p w14:paraId="510801BC" w14:textId="77777777" w:rsidR="00E70F54" w:rsidRDefault="00E70F54">
      <w:pPr>
        <w:rPr>
          <w:b/>
          <w:bCs/>
        </w:rPr>
      </w:pPr>
    </w:p>
    <w:p w14:paraId="3B37654F" w14:textId="77777777" w:rsidR="00E70F54" w:rsidRDefault="00E70F54">
      <w:pPr>
        <w:ind w:firstLine="720"/>
        <w:rPr>
          <w:b/>
          <w:bCs/>
        </w:rPr>
      </w:pPr>
    </w:p>
    <w:p w14:paraId="573663A3" w14:textId="77777777" w:rsidR="00E70F54" w:rsidRDefault="00B25F29">
      <w:pPr>
        <w:ind w:firstLine="720"/>
        <w:rPr>
          <w:b/>
          <w:bCs/>
        </w:rPr>
      </w:pPr>
      <w:r>
        <w:rPr>
          <w:b/>
          <w:bCs/>
        </w:rPr>
        <w:t>Program Name: _______________________________________ Year: ______________________</w:t>
      </w:r>
    </w:p>
    <w:p w14:paraId="5C99392F" w14:textId="77777777" w:rsidR="00E70F54" w:rsidRDefault="00E70F54">
      <w:pPr>
        <w:rPr>
          <w:b/>
          <w:bCs/>
        </w:rPr>
      </w:pPr>
    </w:p>
    <w:p w14:paraId="7D339929" w14:textId="77777777" w:rsidR="00E70F54" w:rsidRDefault="00E70F54">
      <w:pPr>
        <w:widowControl w:val="0"/>
        <w:rPr>
          <w:sz w:val="8"/>
          <w:szCs w:val="8"/>
        </w:rPr>
      </w:pPr>
    </w:p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450"/>
        <w:gridCol w:w="810"/>
      </w:tblGrid>
      <w:tr w:rsidR="00E70F54" w14:paraId="4B50EB24" w14:textId="77777777">
        <w:trPr>
          <w:trHeight w:val="325"/>
        </w:trPr>
        <w:tc>
          <w:tcPr>
            <w:tcW w:w="1009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B8F9" w14:textId="77777777" w:rsidR="00E70F54" w:rsidRDefault="00B25F29">
            <w:pPr>
              <w:tabs>
                <w:tab w:val="left" w:pos="2520"/>
              </w:tabs>
              <w:jc w:val="center"/>
            </w:pPr>
            <w:r>
              <w:rPr>
                <w:b/>
                <w:bCs/>
              </w:rPr>
              <w:t>REQUIRED COMPONENTS</w:t>
            </w:r>
          </w:p>
        </w:tc>
        <w:tc>
          <w:tcPr>
            <w:tcW w:w="81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04B1" w14:textId="77777777" w:rsidR="00E70F54" w:rsidRDefault="00B25F29">
            <w:r>
              <w:rPr>
                <w:b/>
                <w:bCs/>
              </w:rPr>
              <w:t>HAS</w:t>
            </w:r>
          </w:p>
        </w:tc>
      </w:tr>
      <w:tr w:rsidR="00E70F54" w14:paraId="0C0E4260" w14:textId="77777777">
        <w:trPr>
          <w:trHeight w:val="25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A59B30B" w14:textId="77777777" w:rsidR="00E70F54" w:rsidRDefault="00B25F29">
            <w:pPr>
              <w:tabs>
                <w:tab w:val="left" w:pos="2520"/>
              </w:tabs>
              <w:spacing w:before="40" w:after="96"/>
              <w:ind w:left="113" w:right="113"/>
              <w:jc w:val="center"/>
            </w:pPr>
            <w:r>
              <w:rPr>
                <w:b/>
                <w:bCs/>
              </w:rPr>
              <w:t>GENERAL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AD9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Member start date and end 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AE8D" w14:textId="77777777" w:rsidR="00E70F54" w:rsidRDefault="00E70F54"/>
        </w:tc>
      </w:tr>
      <w:tr w:rsidR="00E70F54" w14:paraId="5962C367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A1506C3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2EEC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Minimum required </w:t>
            </w:r>
            <w:r>
              <w:rPr>
                <w:sz w:val="22"/>
                <w:szCs w:val="22"/>
              </w:rPr>
              <w:t>service hours to successfully complete term and be eligible for the education award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E389" w14:textId="77777777" w:rsidR="00E70F54" w:rsidRDefault="00E70F54"/>
        </w:tc>
      </w:tr>
      <w:tr w:rsidR="00E70F54" w14:paraId="0CDFD4A3" w14:textId="77777777">
        <w:trPr>
          <w:trHeight w:val="4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CEF2EF2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C4D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Other requirements (as developed by the grantee) necessary to successfully complete the term of service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AD45" w14:textId="77777777" w:rsidR="00E70F54" w:rsidRDefault="00E70F54"/>
        </w:tc>
      </w:tr>
      <w:tr w:rsidR="00E70F54" w14:paraId="6EBB2B01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1ED16E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8F44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Self-certification that the member has high school degree/GED/on track to obtain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291F" w14:textId="77777777" w:rsidR="00E70F54" w:rsidRDefault="00E70F54"/>
        </w:tc>
      </w:tr>
      <w:tr w:rsidR="00E70F54" w14:paraId="087221EA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D6DADAB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3225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Education award amount for the term of service in which the individual is enrolling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71AF" w14:textId="77777777" w:rsidR="00E70F54" w:rsidRDefault="00E70F54"/>
        </w:tc>
      </w:tr>
      <w:tr w:rsidR="00E70F54" w14:paraId="275C3E9E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D8BD198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87EB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Member benefit acknowledgment (living allowance, health care, childcare, loan </w:t>
            </w:r>
            <w:r>
              <w:rPr>
                <w:sz w:val="22"/>
                <w:szCs w:val="22"/>
              </w:rPr>
              <w:t>forbearance / PSLF)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F1BA" w14:textId="77777777" w:rsidR="00E70F54" w:rsidRDefault="00E70F54"/>
        </w:tc>
      </w:tr>
      <w:tr w:rsidR="00E70F54" w14:paraId="0B468B0C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8DB0945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55B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Code of conduct (standards developed by the grantee) &amp; disciplinary policy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0E90" w14:textId="77777777" w:rsidR="00E70F54" w:rsidRDefault="00E70F54"/>
        </w:tc>
      </w:tr>
      <w:tr w:rsidR="00E70F54" w14:paraId="563F497C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C5111F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287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Suspension rules- including program specific and required suspensions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1B05" w14:textId="77777777" w:rsidR="00E70F54" w:rsidRDefault="00E70F54"/>
        </w:tc>
      </w:tr>
      <w:tr w:rsidR="00E70F54" w14:paraId="70D65E59" w14:textId="77777777">
        <w:trPr>
          <w:trHeight w:val="6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4F2FC80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AE45" w14:textId="77777777" w:rsidR="00E70F54" w:rsidRDefault="00B25F29">
            <w:pPr>
              <w:tabs>
                <w:tab w:val="left" w:pos="2520"/>
              </w:tabs>
              <w:ind w:left="72"/>
            </w:pPr>
            <w:r>
              <w:rPr>
                <w:sz w:val="20"/>
                <w:szCs w:val="20"/>
              </w:rPr>
              <w:t xml:space="preserve">-individual who faces an official charge of a violent felony (e.g., rape, </w:t>
            </w:r>
            <w:r>
              <w:rPr>
                <w:sz w:val="20"/>
                <w:szCs w:val="20"/>
              </w:rPr>
              <w:t>homicide) or sale or distribution of a controlled substance. (A member suspended under this clause can be reinstated if the individual is found not guilty or if the charge is dismissed.)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3288" w14:textId="77777777" w:rsidR="00E70F54" w:rsidRDefault="00E70F54"/>
        </w:tc>
      </w:tr>
      <w:tr w:rsidR="00E70F54" w14:paraId="2C3B9DD6" w14:textId="77777777">
        <w:trPr>
          <w:trHeight w:val="88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AEE7F7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808C" w14:textId="77777777" w:rsidR="00E70F54" w:rsidRDefault="00B25F29">
            <w:pPr>
              <w:tabs>
                <w:tab w:val="left" w:pos="2520"/>
              </w:tabs>
              <w:ind w:left="72"/>
            </w:pPr>
            <w:r>
              <w:rPr>
                <w:sz w:val="20"/>
                <w:szCs w:val="20"/>
              </w:rPr>
              <w:t xml:space="preserve">-individual who is convicted of possession of a controlled </w:t>
            </w:r>
            <w:r>
              <w:rPr>
                <w:sz w:val="20"/>
                <w:szCs w:val="20"/>
              </w:rPr>
              <w:t>substance.  (A member suspended under this clause can be reinstated only if they demonstrate the following: a. first offence, must enrolled in a drug rehabilitation program, b. convicted of more than one offense of possession, must have successfully comple</w:t>
            </w:r>
            <w:r>
              <w:rPr>
                <w:sz w:val="20"/>
                <w:szCs w:val="20"/>
              </w:rPr>
              <w:t>ted a drug rehabilitation program.)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5AFE" w14:textId="77777777" w:rsidR="00E70F54" w:rsidRDefault="00E70F54"/>
        </w:tc>
      </w:tr>
      <w:tr w:rsidR="00E70F54" w14:paraId="1B61C6DD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622F33D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0C2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Termination rules, including the specific terms under which a member may be released for cause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24D5" w14:textId="77777777" w:rsidR="00E70F54" w:rsidRDefault="00E70F54"/>
        </w:tc>
      </w:tr>
      <w:tr w:rsidR="00E70F54" w14:paraId="04AE1004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116CAB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1AA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NSCHC: acknowledgment, including exclusions from service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7804" w14:textId="77777777" w:rsidR="00E70F54" w:rsidRDefault="00E70F54"/>
        </w:tc>
      </w:tr>
      <w:tr w:rsidR="00E70F54" w14:paraId="316BB42D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4A925C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D8E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NSCHC: criminal findings consideration policy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C8D8" w14:textId="77777777" w:rsidR="00E70F54" w:rsidRDefault="00E70F54"/>
        </w:tc>
      </w:tr>
      <w:tr w:rsidR="00E70F54" w14:paraId="39F6B3EE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BEBF48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5C4C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Position </w:t>
            </w:r>
            <w:r>
              <w:rPr>
                <w:sz w:val="22"/>
                <w:szCs w:val="22"/>
              </w:rPr>
              <w:t>description attached or incorporated by reference (indicating 2 or 3 part check)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CDB7" w14:textId="77777777" w:rsidR="00E70F54" w:rsidRDefault="00E70F54"/>
        </w:tc>
      </w:tr>
      <w:tr w:rsidR="00E70F54" w14:paraId="0D809E8F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861921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6EE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Media/publicity/information release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6961" w14:textId="77777777" w:rsidR="00E70F54" w:rsidRDefault="00E70F54"/>
        </w:tc>
      </w:tr>
      <w:tr w:rsidR="00E70F54" w14:paraId="0DFFD5BA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A4F922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3FC6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Requirements under the Drug-Free Workplace Act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80D1" w14:textId="77777777" w:rsidR="00E70F54" w:rsidRDefault="00E70F54"/>
        </w:tc>
      </w:tr>
      <w:tr w:rsidR="00E70F54" w14:paraId="29CED48E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AB70787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A068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Logo on the document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91DE" w14:textId="77777777" w:rsidR="00E70F54" w:rsidRDefault="00E70F54"/>
        </w:tc>
      </w:tr>
      <w:tr w:rsidR="00E70F54" w14:paraId="7E334623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EBD1C6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A7CA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AmeriCorps branding requirements for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C5BA" w14:textId="77777777" w:rsidR="00E70F54" w:rsidRDefault="00E70F54"/>
        </w:tc>
      </w:tr>
      <w:tr w:rsidR="00E70F54" w14:paraId="193AC348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016973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EA9F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Written </w:t>
            </w:r>
            <w:r>
              <w:rPr>
                <w:sz w:val="22"/>
                <w:szCs w:val="22"/>
              </w:rPr>
              <w:t>election/decline health care and child care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BBF6" w14:textId="77777777" w:rsidR="00E70F54" w:rsidRDefault="00E70F54"/>
        </w:tc>
      </w:tr>
      <w:tr w:rsidR="00E70F54" w14:paraId="36FE9E02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E625EB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AB11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Loan forbearance information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7163" w14:textId="77777777" w:rsidR="00E70F54" w:rsidRDefault="00E70F54"/>
        </w:tc>
      </w:tr>
      <w:tr w:rsidR="00E70F54" w14:paraId="30C9904C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10091A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DF8D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Policy regarding limits on training and fundraising hours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(45 CFR 2540.45 &amp; 45 CFR 2540.50)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1849" w14:textId="77777777" w:rsidR="00E70F54" w:rsidRDefault="00E70F54"/>
        </w:tc>
      </w:tr>
      <w:tr w:rsidR="00E70F54" w14:paraId="72A73A70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FB17D0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C2C6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Civil rights non-discrimination requirements, complaint procedures, &amp; rights of </w:t>
            </w:r>
            <w:r>
              <w:rPr>
                <w:sz w:val="22"/>
                <w:szCs w:val="22"/>
              </w:rPr>
              <w:t>beneficiaries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D1C" w14:textId="77777777" w:rsidR="00E70F54" w:rsidRDefault="00E70F54"/>
        </w:tc>
      </w:tr>
      <w:tr w:rsidR="00E70F54" w14:paraId="4C3E56AE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479D0C7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1FF6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Jury duty and leave policy/information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E6A6" w14:textId="77777777" w:rsidR="00E70F54" w:rsidRDefault="00E70F54"/>
        </w:tc>
      </w:tr>
      <w:tr w:rsidR="00E70F54" w14:paraId="06839DB2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E902C1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A195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Information regarding program assistance in completing GED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BD8D" w14:textId="77777777" w:rsidR="00E70F54" w:rsidRDefault="00E70F54"/>
        </w:tc>
      </w:tr>
      <w:tr w:rsidR="00E70F54" w14:paraId="3F684466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245767B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04BB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Information on exiting, term of service and extending term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4EAE" w14:textId="77777777" w:rsidR="00E70F54" w:rsidRDefault="00E70F54"/>
        </w:tc>
      </w:tr>
      <w:tr w:rsidR="00E70F54" w14:paraId="6EDC6BF3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E14D912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3D1D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Prohibited activities (see full checklist below)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5682" w14:textId="77777777" w:rsidR="00E70F54" w:rsidRDefault="00E70F54"/>
        </w:tc>
      </w:tr>
      <w:tr w:rsidR="00E70F54" w14:paraId="603D101C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926485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A74B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Grievance procedures </w:t>
            </w:r>
            <w:r>
              <w:rPr>
                <w:sz w:val="22"/>
                <w:szCs w:val="22"/>
              </w:rPr>
              <w:t>(see full checklist below)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D917" w14:textId="77777777" w:rsidR="00E70F54" w:rsidRDefault="00E70F54"/>
        </w:tc>
      </w:tr>
      <w:tr w:rsidR="00E70F54" w14:paraId="5297B663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19FEA53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381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Name and contact information for site supervisor and placement site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8359" w14:textId="77777777" w:rsidR="00E70F54" w:rsidRDefault="00E70F54"/>
        </w:tc>
      </w:tr>
      <w:tr w:rsidR="00E70F54" w14:paraId="6E242AF6" w14:textId="77777777">
        <w:trPr>
          <w:trHeight w:val="2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13CD1A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C2EA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Member signature &amp; 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520A" w14:textId="77777777" w:rsidR="00E70F54" w:rsidRDefault="00E70F54"/>
        </w:tc>
      </w:tr>
      <w:tr w:rsidR="00E70F54" w14:paraId="0D1EC80A" w14:textId="77777777">
        <w:trPr>
          <w:trHeight w:val="2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C911DB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1918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Program representative signature &amp; 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890E" w14:textId="77777777" w:rsidR="00E70F54" w:rsidRDefault="00E70F54"/>
        </w:tc>
      </w:tr>
      <w:tr w:rsidR="00E70F54" w14:paraId="763C12AA" w14:textId="77777777">
        <w:trPr>
          <w:trHeight w:val="743"/>
        </w:trPr>
        <w:tc>
          <w:tcPr>
            <w:tcW w:w="648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0ECD51D" w14:textId="77777777" w:rsidR="00E70F54" w:rsidRDefault="00B25F29">
            <w:pPr>
              <w:tabs>
                <w:tab w:val="left" w:pos="2520"/>
              </w:tabs>
              <w:ind w:left="113" w:right="113"/>
              <w:jc w:val="center"/>
            </w:pPr>
            <w:r>
              <w:rPr>
                <w:b/>
                <w:bCs/>
              </w:rPr>
              <w:t>PROHIBITED ACTIVITIES</w:t>
            </w:r>
          </w:p>
        </w:tc>
        <w:tc>
          <w:tcPr>
            <w:tcW w:w="945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9D31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45 CFR</w:t>
            </w:r>
            <w:r>
              <w:rPr>
                <w:rFonts w:hAnsi="Times New Roman"/>
                <w:sz w:val="22"/>
                <w:szCs w:val="22"/>
              </w:rPr>
              <w:t xml:space="preserve">§§ </w:t>
            </w:r>
            <w:r>
              <w:rPr>
                <w:sz w:val="22"/>
                <w:szCs w:val="22"/>
              </w:rPr>
              <w:t>2520.65. While charging time to the AmeriCorps program,</w:t>
            </w:r>
            <w:r>
              <w:rPr>
                <w:sz w:val="22"/>
                <w:szCs w:val="22"/>
              </w:rPr>
              <w:t xml:space="preserve"> accumulating service or training hours, or otherwise performing activities supported by the AmeriCorps program or CNCS, staff and members may not engage in the following activities.</w:t>
            </w:r>
          </w:p>
        </w:tc>
        <w:tc>
          <w:tcPr>
            <w:tcW w:w="81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2AC1" w14:textId="77777777" w:rsidR="00E70F54" w:rsidRDefault="00E70F54"/>
        </w:tc>
      </w:tr>
      <w:tr w:rsidR="00E70F54" w14:paraId="4FC430D5" w14:textId="77777777">
        <w:trPr>
          <w:trHeight w:val="248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9A4FAF7" w14:textId="77777777" w:rsidR="00E70F54" w:rsidRDefault="00E70F54"/>
        </w:tc>
        <w:tc>
          <w:tcPr>
            <w:tcW w:w="94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D5A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a. Attempting to influence legislation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8417" w14:textId="77777777" w:rsidR="00E70F54" w:rsidRDefault="00E70F54"/>
        </w:tc>
      </w:tr>
      <w:tr w:rsidR="00E70F54" w14:paraId="35D45EF3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4924A5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128B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b. Organizing or engaging in</w:t>
            </w:r>
            <w:r>
              <w:rPr>
                <w:sz w:val="22"/>
                <w:szCs w:val="22"/>
              </w:rPr>
              <w:t xml:space="preserve"> protests, petitions, boycotts, or strikes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5302" w14:textId="77777777" w:rsidR="00E70F54" w:rsidRDefault="00E70F54"/>
        </w:tc>
      </w:tr>
      <w:tr w:rsidR="00E70F54" w14:paraId="124026B0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F4B6758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775A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c. Assisting, promoting or deterring union organizing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B679" w14:textId="77777777" w:rsidR="00E70F54" w:rsidRDefault="00E70F54"/>
        </w:tc>
      </w:tr>
      <w:tr w:rsidR="00E70F54" w14:paraId="07E775EB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218E29D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6F1C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d. Impairing existing contracts for services or collective bargaining agreements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695A" w14:textId="77777777" w:rsidR="00E70F54" w:rsidRDefault="00E70F54"/>
        </w:tc>
      </w:tr>
      <w:tr w:rsidR="00E70F54" w14:paraId="53852FF2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5A3722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AAA3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e. Engaging in partisan political activities or other activities </w:t>
            </w:r>
            <w:r>
              <w:rPr>
                <w:sz w:val="22"/>
                <w:szCs w:val="22"/>
              </w:rPr>
              <w:t>designed to influence the outcome of an election to any public 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2E12" w14:textId="77777777" w:rsidR="00E70F54" w:rsidRDefault="00E70F54"/>
        </w:tc>
      </w:tr>
      <w:tr w:rsidR="00E70F54" w14:paraId="23E5921E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78D34B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86EE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f. Participating in, or endorsing, events or activities that are likely to include advocacy for or against political parties, political platforms, political candidates, proposed </w:t>
            </w:r>
            <w:r>
              <w:rPr>
                <w:sz w:val="22"/>
                <w:szCs w:val="22"/>
              </w:rPr>
              <w:t>legislation, or elected officials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3D9E" w14:textId="77777777" w:rsidR="00E70F54" w:rsidRDefault="00E70F54"/>
        </w:tc>
      </w:tr>
      <w:tr w:rsidR="00E70F54" w14:paraId="4E4F8929" w14:textId="77777777">
        <w:trPr>
          <w:trHeight w:val="96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92359D2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ADB9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g. Engaging in religious instruction, conducting worship services, providing instruction as part of a program that includes mandatory religious instruction or worship, constructing or operating facilities devoted to rel</w:t>
            </w:r>
            <w:r>
              <w:rPr>
                <w:sz w:val="22"/>
                <w:szCs w:val="22"/>
              </w:rPr>
              <w:t>igious instruction or worship, maintaining facilities primarily or inherently devoted to religious instruction or worship, or engaging in any form of religious proselytization;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6347" w14:textId="77777777" w:rsidR="00E70F54" w:rsidRDefault="00E70F54"/>
        </w:tc>
      </w:tr>
      <w:tr w:rsidR="00E70F54" w14:paraId="22C25AB8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C4DD92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EFFC" w14:textId="77777777" w:rsidR="00E70F54" w:rsidRDefault="00B25F29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Providing a direct benefit to </w:t>
            </w:r>
          </w:p>
          <w:p w14:paraId="20535437" w14:textId="77777777" w:rsidR="00E70F54" w:rsidRDefault="00B25F29">
            <w:pPr>
              <w:tabs>
                <w:tab w:val="left" w:pos="2520"/>
              </w:tabs>
              <w:ind w:left="252"/>
            </w:pPr>
            <w:r>
              <w:rPr>
                <w:sz w:val="22"/>
                <w:szCs w:val="22"/>
              </w:rPr>
              <w:t>i. A business organized for profit;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8844" w14:textId="77777777" w:rsidR="00E70F54" w:rsidRDefault="00E70F54"/>
        </w:tc>
      </w:tr>
      <w:tr w:rsidR="00E70F54" w14:paraId="203E37D7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51EF94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91C7" w14:textId="77777777" w:rsidR="00E70F54" w:rsidRDefault="00B25F29">
            <w:pPr>
              <w:tabs>
                <w:tab w:val="left" w:pos="2520"/>
              </w:tabs>
              <w:ind w:left="252"/>
            </w:pPr>
            <w:r>
              <w:rPr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t xml:space="preserve">  A labor union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6FD6" w14:textId="77777777" w:rsidR="00E70F54" w:rsidRDefault="00E70F54"/>
        </w:tc>
      </w:tr>
      <w:tr w:rsidR="00E70F54" w14:paraId="3EE7A248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DF0F772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76B3" w14:textId="77777777" w:rsidR="00E70F54" w:rsidRDefault="00B25F29">
            <w:pPr>
              <w:tabs>
                <w:tab w:val="left" w:pos="2520"/>
              </w:tabs>
              <w:ind w:left="252"/>
            </w:pPr>
            <w:r>
              <w:rPr>
                <w:sz w:val="22"/>
                <w:szCs w:val="22"/>
              </w:rPr>
              <w:t>iii. A partisan political organization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AA44" w14:textId="77777777" w:rsidR="00E70F54" w:rsidRDefault="00E70F54"/>
        </w:tc>
      </w:tr>
      <w:tr w:rsidR="00E70F54" w14:paraId="1D952564" w14:textId="77777777">
        <w:trPr>
          <w:trHeight w:val="96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7498B1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910" w14:textId="77777777" w:rsidR="00E70F54" w:rsidRDefault="00B25F29">
            <w:pPr>
              <w:tabs>
                <w:tab w:val="left" w:pos="2520"/>
              </w:tabs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A non-profit entity that fails to comply with restrictions contained in section 501(c)(3) </w:t>
            </w:r>
          </w:p>
          <w:p w14:paraId="01190721" w14:textId="77777777" w:rsidR="00E70F54" w:rsidRDefault="00B25F29">
            <w:pPr>
              <w:tabs>
                <w:tab w:val="left" w:pos="2520"/>
              </w:tabs>
              <w:ind w:left="252"/>
            </w:pPr>
            <w:r>
              <w:rPr>
                <w:sz w:val="22"/>
                <w:szCs w:val="22"/>
              </w:rPr>
              <w:t xml:space="preserve">of the Internal Revenue Code of 1986 related to engaging in political activities or substantial </w:t>
            </w:r>
            <w:r>
              <w:rPr>
                <w:sz w:val="22"/>
                <w:szCs w:val="22"/>
              </w:rPr>
              <w:t>amount of lobbying except that nothing in these provisions shall be construed to prevent participants from engaging in advocacy activities undertaken at their own initiative;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2813" w14:textId="77777777" w:rsidR="00E70F54" w:rsidRDefault="00E70F54"/>
        </w:tc>
      </w:tr>
      <w:tr w:rsidR="00E70F54" w14:paraId="701AC08B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DC82D0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DB6F" w14:textId="77777777" w:rsidR="00E70F54" w:rsidRDefault="00B25F29">
            <w:pPr>
              <w:tabs>
                <w:tab w:val="left" w:pos="2520"/>
              </w:tabs>
              <w:ind w:left="252"/>
            </w:pPr>
            <w:r>
              <w:rPr>
                <w:sz w:val="22"/>
                <w:szCs w:val="22"/>
              </w:rPr>
              <w:t xml:space="preserve">v. An organization engaged in religious activities as described above (g), </w:t>
            </w:r>
            <w:r>
              <w:rPr>
                <w:sz w:val="22"/>
                <w:szCs w:val="22"/>
              </w:rPr>
              <w:t>unless Corporation assistance is not used to support those religious activities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0DF" w14:textId="77777777" w:rsidR="00E70F54" w:rsidRDefault="00E70F54"/>
        </w:tc>
      </w:tr>
      <w:tr w:rsidR="00E70F54" w14:paraId="542237B7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D5983E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5BD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i. Conducting a voter registration drive or using CNCS funds to conduct a voter registration drive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ACC8" w14:textId="77777777" w:rsidR="00E70F54" w:rsidRDefault="00E70F54"/>
        </w:tc>
      </w:tr>
      <w:tr w:rsidR="00E70F54" w14:paraId="364BBD35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FC05720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32D4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j. Providing abortion services or referrals for receipt of such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BE72" w14:textId="77777777" w:rsidR="00E70F54" w:rsidRDefault="00E70F54"/>
        </w:tc>
      </w:tr>
      <w:tr w:rsidR="00E70F54" w14:paraId="06AF67C2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2A6710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B3B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k. Such other activities as CNCS/ICVS may prohibit.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7633" w14:textId="77777777" w:rsidR="00E70F54" w:rsidRDefault="00E70F54"/>
        </w:tc>
      </w:tr>
      <w:tr w:rsidR="00E70F54" w14:paraId="1DE86988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22C402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580F" w14:textId="77777777" w:rsidR="00E70F54" w:rsidRDefault="00B25F29">
            <w:r>
              <w:rPr>
                <w:sz w:val="22"/>
                <w:szCs w:val="22"/>
              </w:rPr>
              <w:t>AmeriCorps members may not engage in the above activities directly or indirectly by recruiting, training, or managing others for the primary purpose of engaging in one of the activities lis</w:t>
            </w:r>
            <w:r>
              <w:rPr>
                <w:sz w:val="22"/>
                <w:szCs w:val="22"/>
              </w:rPr>
              <w:t xml:space="preserve">ted above.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1841" w14:textId="77777777" w:rsidR="00E70F54" w:rsidRDefault="00E70F54"/>
        </w:tc>
      </w:tr>
      <w:tr w:rsidR="00E70F54" w14:paraId="116BACC2" w14:textId="77777777">
        <w:trPr>
          <w:trHeight w:val="72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82539E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64C6" w14:textId="77777777" w:rsidR="00E70F54" w:rsidRDefault="00B25F29">
            <w:r>
              <w:rPr>
                <w:sz w:val="22"/>
                <w:szCs w:val="22"/>
              </w:rPr>
              <w:t xml:space="preserve">Individuals may exercise their rights as private citizens and may participate in the activities listed above on their initiative, on non-AmeriCorps time, and using non-CNCS funds. Individuals should not wear the AmeriCorps logo while doing </w:t>
            </w:r>
            <w:r>
              <w:rPr>
                <w:sz w:val="22"/>
                <w:szCs w:val="22"/>
              </w:rPr>
              <w:t>so.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D978" w14:textId="77777777" w:rsidR="00E70F54" w:rsidRDefault="00E70F54"/>
        </w:tc>
      </w:tr>
      <w:tr w:rsidR="00E70F54" w14:paraId="5A065BDD" w14:textId="77777777">
        <w:trPr>
          <w:trHeight w:val="120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ACF51F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23A3" w14:textId="77777777" w:rsidR="00E70F54" w:rsidRDefault="00B25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CFR</w:t>
            </w:r>
            <w:r>
              <w:rPr>
                <w:rFonts w:hAnsi="Times New Roman"/>
                <w:sz w:val="22"/>
                <w:szCs w:val="22"/>
              </w:rPr>
              <w:t xml:space="preserve">§§ </w:t>
            </w:r>
            <w:r>
              <w:rPr>
                <w:sz w:val="22"/>
                <w:szCs w:val="22"/>
              </w:rPr>
              <w:t>2520.40 AmeriCorps members may raise resources directly in support of your program's service activities. Examples of fundraising activities AmeriCorps members may perform include, but are not limited to, the following:</w:t>
            </w:r>
          </w:p>
          <w:p w14:paraId="5E28FE0D" w14:textId="77777777" w:rsidR="00E70F54" w:rsidRDefault="00B25F29">
            <w:r>
              <w:rPr>
                <w:sz w:val="22"/>
                <w:szCs w:val="22"/>
              </w:rPr>
              <w:t xml:space="preserve">(1) Seeking donations of books from companies and individuals for a program in which volunteers teach children to read;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0C1" w14:textId="77777777" w:rsidR="00E70F54" w:rsidRDefault="00E70F54"/>
        </w:tc>
      </w:tr>
      <w:tr w:rsidR="00E70F54" w14:paraId="5185379D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0FF21E0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5A21" w14:textId="77777777" w:rsidR="00E70F54" w:rsidRDefault="00B25F29">
            <w:r>
              <w:rPr>
                <w:sz w:val="22"/>
                <w:szCs w:val="22"/>
              </w:rPr>
              <w:t>(2) Writing a grant proposal to a foundation to secure resources to support the training of volunteers;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6FF7" w14:textId="77777777" w:rsidR="00E70F54" w:rsidRDefault="00E70F54"/>
        </w:tc>
      </w:tr>
      <w:tr w:rsidR="00E70F54" w14:paraId="3EEDA873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EB3568D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5B3B" w14:textId="77777777" w:rsidR="00E70F54" w:rsidRDefault="00B25F29">
            <w:r>
              <w:rPr>
                <w:sz w:val="22"/>
                <w:szCs w:val="22"/>
              </w:rPr>
              <w:t>(3) Securing supplies and</w:t>
            </w:r>
            <w:r>
              <w:rPr>
                <w:sz w:val="22"/>
                <w:szCs w:val="22"/>
              </w:rPr>
              <w:t xml:space="preserve"> equipment from the community to enable volunteers to help build houses for low-income individuals;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B197" w14:textId="77777777" w:rsidR="00E70F54" w:rsidRDefault="00E70F54"/>
        </w:tc>
      </w:tr>
      <w:tr w:rsidR="00E70F54" w14:paraId="5F0E2425" w14:textId="77777777">
        <w:trPr>
          <w:trHeight w:val="72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E641F4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453A" w14:textId="77777777" w:rsidR="00E70F54" w:rsidRDefault="00B25F29">
            <w:r>
              <w:rPr>
                <w:sz w:val="22"/>
                <w:szCs w:val="22"/>
              </w:rPr>
              <w:t xml:space="preserve">(4) Securing financial resources from the community to assist in launching or expanding a program that provides social services to the members of the </w:t>
            </w:r>
            <w:r>
              <w:rPr>
                <w:sz w:val="22"/>
                <w:szCs w:val="22"/>
              </w:rPr>
              <w:t>community and is delivered, in whole or in part, through the members of a community-based organization;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8D85" w14:textId="77777777" w:rsidR="00E70F54" w:rsidRDefault="00E70F54"/>
        </w:tc>
      </w:tr>
      <w:tr w:rsidR="00E70F54" w14:paraId="6DA339AC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C8D90CF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2839" w14:textId="77777777" w:rsidR="00E70F54" w:rsidRDefault="00B25F29">
            <w:r>
              <w:rPr>
                <w:sz w:val="22"/>
                <w:szCs w:val="22"/>
              </w:rPr>
              <w:t>(5) Seeking donations from alumni of the program for specific service projects being performed by current members.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D012" w14:textId="77777777" w:rsidR="00E70F54" w:rsidRDefault="00E70F54"/>
        </w:tc>
      </w:tr>
      <w:tr w:rsidR="00E70F54" w14:paraId="2C117C77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9E8747F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ED19" w14:textId="77777777" w:rsidR="00E70F54" w:rsidRDefault="00B25F29">
            <w:r>
              <w:rPr>
                <w:sz w:val="22"/>
                <w:szCs w:val="22"/>
              </w:rPr>
              <w:t>AmeriCorps members may not: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C46E" w14:textId="77777777" w:rsidR="00E70F54" w:rsidRDefault="00E70F54"/>
        </w:tc>
      </w:tr>
      <w:tr w:rsidR="00E70F54" w14:paraId="65618A61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5E0A62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774C" w14:textId="77777777" w:rsidR="00E70F54" w:rsidRDefault="00B25F29">
            <w:r>
              <w:rPr>
                <w:sz w:val="22"/>
                <w:szCs w:val="22"/>
              </w:rPr>
              <w:t>(1) Raise funds for living allowances or for an organization's general (as opposed to project) operating expenses or endowment;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5083" w14:textId="77777777" w:rsidR="00E70F54" w:rsidRDefault="00E70F54"/>
        </w:tc>
      </w:tr>
      <w:tr w:rsidR="00E70F54" w14:paraId="3C049E56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A068E7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71C6" w14:textId="77777777" w:rsidR="00E70F54" w:rsidRDefault="00B25F29">
            <w:pPr>
              <w:tabs>
                <w:tab w:val="left" w:pos="270"/>
              </w:tabs>
            </w:pPr>
            <w:r>
              <w:rPr>
                <w:sz w:val="22"/>
                <w:szCs w:val="22"/>
              </w:rPr>
              <w:t>(2) Write a grant application to the Corporation or to any other Federal agency.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81E8" w14:textId="77777777" w:rsidR="00E70F54" w:rsidRDefault="00E70F54"/>
        </w:tc>
      </w:tr>
      <w:tr w:rsidR="00E70F54" w14:paraId="777E03A2" w14:textId="77777777">
        <w:trPr>
          <w:trHeight w:val="72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83B293A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63B3" w14:textId="77777777" w:rsidR="00E70F54" w:rsidRDefault="00B25F29">
            <w:pPr>
              <w:tabs>
                <w:tab w:val="left" w:pos="270"/>
              </w:tabs>
            </w:pPr>
            <w:r>
              <w:rPr>
                <w:sz w:val="22"/>
                <w:szCs w:val="22"/>
              </w:rPr>
              <w:t>45 CFR</w:t>
            </w:r>
            <w:r>
              <w:rPr>
                <w:rFonts w:hAnsi="Times New Roman"/>
                <w:sz w:val="22"/>
                <w:szCs w:val="22"/>
              </w:rPr>
              <w:t xml:space="preserve">§§ </w:t>
            </w:r>
            <w:r>
              <w:rPr>
                <w:sz w:val="22"/>
                <w:szCs w:val="22"/>
              </w:rPr>
              <w:t xml:space="preserve">2520.45  An AmeriCorps member may spend no more than ten percent of his or her originally agreed-upon term of service, as reflected in the member enrollment in the National Service Trust, performing fundraising activities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8465" w14:textId="77777777" w:rsidR="00E70F54" w:rsidRDefault="00E70F54"/>
        </w:tc>
      </w:tr>
      <w:tr w:rsidR="00E70F54" w14:paraId="7E01F71E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85E6240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0998" w14:textId="77777777" w:rsidR="00E70F54" w:rsidRDefault="00B25F29">
            <w:r>
              <w:rPr>
                <w:sz w:val="22"/>
                <w:szCs w:val="22"/>
              </w:rPr>
              <w:t xml:space="preserve">The grantee must ensure that it does not exceed the limitation on member service hours spent in education and training set forth in 45 CFR </w:t>
            </w:r>
            <w:r>
              <w:rPr>
                <w:rFonts w:hAnsi="Times New Roman"/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2520.50.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C59D" w14:textId="77777777" w:rsidR="00E70F54" w:rsidRDefault="00E70F54"/>
        </w:tc>
      </w:tr>
      <w:tr w:rsidR="00E70F54" w14:paraId="04FFACD6" w14:textId="77777777">
        <w:trPr>
          <w:trHeight w:val="144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C7226FF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CA19" w14:textId="77777777" w:rsidR="00E70F54" w:rsidRDefault="00B25F29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Nonduplication language (program responsibility): 45 CFR </w:t>
            </w:r>
            <w:r>
              <w:rPr>
                <w:rFonts w:hAnsi="Times New Roman"/>
                <w:sz w:val="22"/>
                <w:szCs w:val="22"/>
              </w:rPr>
              <w:t xml:space="preserve">§§ </w:t>
            </w:r>
            <w:r>
              <w:rPr>
                <w:sz w:val="22"/>
                <w:szCs w:val="22"/>
              </w:rPr>
              <w:t>2540.100</w:t>
            </w:r>
          </w:p>
          <w:p w14:paraId="13ABE32C" w14:textId="77777777" w:rsidR="00E70F54" w:rsidRDefault="00B25F29">
            <w:r>
              <w:rPr>
                <w:sz w:val="22"/>
                <w:szCs w:val="22"/>
              </w:rPr>
              <w:t xml:space="preserve"> (e) </w:t>
            </w:r>
            <w:r>
              <w:rPr>
                <w:i/>
                <w:iCs/>
                <w:sz w:val="22"/>
                <w:szCs w:val="22"/>
              </w:rPr>
              <w:t>Nonduplication.</w:t>
            </w:r>
            <w:r>
              <w:rPr>
                <w:sz w:val="22"/>
                <w:szCs w:val="22"/>
              </w:rPr>
              <w:t xml:space="preserve"> Corporation assistance may not be used to duplicate an activity that is already available in the locality of a program. And, unless the requirements of paragraph (f) [nondisplacement] of this section are met, Corporation assistance will not be provided to</w:t>
            </w:r>
            <w:r>
              <w:rPr>
                <w:sz w:val="22"/>
                <w:szCs w:val="22"/>
              </w:rPr>
              <w:t xml:space="preserve"> a private nonprofit entity to conduct activities that are the same or substantially equivalent to activities provided by a State or local government agency in which such entity resides.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CA67" w14:textId="77777777" w:rsidR="00E70F54" w:rsidRDefault="00E70F54"/>
        </w:tc>
      </w:tr>
      <w:tr w:rsidR="00E70F54" w14:paraId="0DEE24F0" w14:textId="77777777">
        <w:trPr>
          <w:trHeight w:val="120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F9631E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6D66" w14:textId="77777777" w:rsidR="00E70F54" w:rsidRDefault="00B25F29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Nondisplacement language (program responsibility): 45 CFR </w:t>
            </w:r>
            <w:r>
              <w:rPr>
                <w:rFonts w:hAnsi="Times New Roman"/>
                <w:sz w:val="22"/>
                <w:szCs w:val="22"/>
              </w:rPr>
              <w:t xml:space="preserve">§§ </w:t>
            </w:r>
            <w:r>
              <w:rPr>
                <w:sz w:val="22"/>
                <w:szCs w:val="22"/>
              </w:rPr>
              <w:t xml:space="preserve">2540.100  </w:t>
            </w:r>
          </w:p>
          <w:p w14:paraId="319FB826" w14:textId="77777777" w:rsidR="00E70F54" w:rsidRDefault="00B25F29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(f) </w:t>
            </w:r>
            <w:r>
              <w:rPr>
                <w:i/>
                <w:iCs/>
                <w:sz w:val="22"/>
                <w:szCs w:val="22"/>
              </w:rPr>
              <w:t>Nondisplacement.</w:t>
            </w:r>
            <w:r>
              <w:rPr>
                <w:sz w:val="22"/>
                <w:szCs w:val="22"/>
              </w:rPr>
              <w:t xml:space="preserve"> </w:t>
            </w:r>
          </w:p>
          <w:p w14:paraId="57685854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(1) An employer may not displace an employee or position, including partial displacement such as reduction in hours, wages, or employment benefits, as a result of the use by such employer of a participant in a program recei</w:t>
            </w:r>
            <w:r>
              <w:rPr>
                <w:sz w:val="22"/>
                <w:szCs w:val="22"/>
              </w:rPr>
              <w:t>ving Corporation assistance.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7624" w14:textId="77777777" w:rsidR="00E70F54" w:rsidRDefault="00E70F54"/>
        </w:tc>
      </w:tr>
      <w:tr w:rsidR="00E70F54" w14:paraId="2D767C0A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40BC73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02B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(2) An organization may not displace a volunteer by using a participant in a program receiving Corporation assistance.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E9E2" w14:textId="77777777" w:rsidR="00E70F54" w:rsidRDefault="00E70F54"/>
        </w:tc>
      </w:tr>
      <w:tr w:rsidR="00E70F54" w14:paraId="4AB84896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581458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1BB9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(3) A service opportunity will not be created under this chapter that will infringe in any manner on </w:t>
            </w:r>
            <w:r>
              <w:rPr>
                <w:sz w:val="22"/>
                <w:szCs w:val="22"/>
              </w:rPr>
              <w:t>the promotional opportunity of an employed individual.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5874" w14:textId="77777777" w:rsidR="00E70F54" w:rsidRDefault="00E70F54"/>
        </w:tc>
      </w:tr>
      <w:tr w:rsidR="00E70F54" w14:paraId="67E0B67E" w14:textId="77777777">
        <w:trPr>
          <w:trHeight w:val="72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AC5727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2BA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(4) A participant in a program receiving Corporation assistance may not perform any services or duties or engage in activities that would otherwise be performed by an employee as part of the assigne</w:t>
            </w:r>
            <w:r>
              <w:rPr>
                <w:sz w:val="22"/>
                <w:szCs w:val="22"/>
              </w:rPr>
              <w:t>d duties of such employee.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530C" w14:textId="77777777" w:rsidR="00E70F54" w:rsidRDefault="00E70F54"/>
        </w:tc>
      </w:tr>
      <w:tr w:rsidR="00E70F54" w14:paraId="10EC719B" w14:textId="77777777">
        <w:trPr>
          <w:trHeight w:val="961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2C5F663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FC0B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(5) A participant in any program receiving assistance under this chapter may not perform any services or duties, or engage in activities, that</w:t>
            </w:r>
            <w:r>
              <w:rPr>
                <w:rFonts w:hAnsi="Times New Roman"/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(i) Will supplant the hiring of employed workers; or (ii) Are services, duties, or</w:t>
            </w:r>
            <w:r>
              <w:rPr>
                <w:sz w:val="22"/>
                <w:szCs w:val="22"/>
              </w:rPr>
              <w:t xml:space="preserve"> activities with respect to which an individual has recall rights pursuant to a collective bargaining agreement or applicable personnel procedures.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2829" w14:textId="77777777" w:rsidR="00E70F54" w:rsidRDefault="00E70F54"/>
        </w:tc>
      </w:tr>
      <w:tr w:rsidR="00E70F54" w14:paraId="23F6B447" w14:textId="77777777">
        <w:trPr>
          <w:trHeight w:val="1466"/>
        </w:trPr>
        <w:tc>
          <w:tcPr>
            <w:tcW w:w="648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9CF1070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7D5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 xml:space="preserve">(6) A participant in any program receiving assistance under this chapter may not perform services or </w:t>
            </w:r>
            <w:r>
              <w:rPr>
                <w:sz w:val="22"/>
                <w:szCs w:val="22"/>
              </w:rPr>
              <w:t>duties that have been performed by or were assigned to any</w:t>
            </w:r>
            <w:r>
              <w:rPr>
                <w:rFonts w:hAnsi="Times New Roman"/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(i) Presently employed worker; (ii) Employee who recently resigned or was discharged; (iii) Employee who is subject to a reduction in force or who has recall rights pursuant to a collective bargai</w:t>
            </w:r>
            <w:r>
              <w:rPr>
                <w:sz w:val="22"/>
                <w:szCs w:val="22"/>
              </w:rPr>
              <w:t>ning agreement or applicable personnel procedures; (iv) Employee who is on leave (terminal, temporary, vacation, emergency, or sick); or (v) Employee who is on strike or who is being locked out.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6418" w14:textId="77777777" w:rsidR="00E70F54" w:rsidRDefault="00E70F54"/>
        </w:tc>
      </w:tr>
      <w:tr w:rsidR="00E70F54" w14:paraId="76C2AC68" w14:textId="77777777">
        <w:trPr>
          <w:trHeight w:val="506"/>
        </w:trPr>
        <w:tc>
          <w:tcPr>
            <w:tcW w:w="64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6ECD2D" w14:textId="77777777" w:rsidR="00E70F54" w:rsidRDefault="00B25F29">
            <w:pPr>
              <w:tabs>
                <w:tab w:val="left" w:pos="2520"/>
              </w:tabs>
              <w:ind w:left="113" w:right="113"/>
              <w:jc w:val="center"/>
            </w:pPr>
            <w:r>
              <w:rPr>
                <w:b/>
                <w:bCs/>
              </w:rPr>
              <w:t>GRIEVANCE PROCE</w:t>
            </w:r>
            <w:r>
              <w:rPr>
                <w:b/>
                <w:bCs/>
              </w:rPr>
              <w:lastRenderedPageBreak/>
              <w:t>DURES</w:t>
            </w:r>
          </w:p>
        </w:tc>
        <w:tc>
          <w:tcPr>
            <w:tcW w:w="94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18D5" w14:textId="77777777" w:rsidR="00E70F54" w:rsidRDefault="00B25F29">
            <w:r>
              <w:rPr>
                <w:i/>
                <w:iCs/>
                <w:sz w:val="22"/>
                <w:szCs w:val="22"/>
              </w:rPr>
              <w:lastRenderedPageBreak/>
              <w:t xml:space="preserve">Suspension of placement. </w:t>
            </w:r>
            <w:r>
              <w:rPr>
                <w:sz w:val="22"/>
                <w:szCs w:val="22"/>
              </w:rPr>
              <w:t xml:space="preserve">If a </w:t>
            </w:r>
            <w:r>
              <w:rPr>
                <w:sz w:val="22"/>
                <w:szCs w:val="22"/>
              </w:rPr>
              <w:t>grievance is filed regarding a proposed placement of a participant, such placement must not be made unless the placement is consistent with the resolution of the grievance.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62EC" w14:textId="77777777" w:rsidR="00E70F54" w:rsidRDefault="00E70F54"/>
        </w:tc>
      </w:tr>
      <w:tr w:rsidR="00E70F54" w14:paraId="407F199F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55D063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76AB" w14:textId="77777777" w:rsidR="00E70F54" w:rsidRDefault="00B25F29">
            <w:pPr>
              <w:tabs>
                <w:tab w:val="left" w:pos="2520"/>
              </w:tabs>
            </w:pPr>
            <w:r>
              <w:rPr>
                <w:i/>
                <w:iCs/>
                <w:sz w:val="22"/>
                <w:szCs w:val="22"/>
              </w:rPr>
              <w:t xml:space="preserve">Suspension of service. </w:t>
            </w:r>
            <w:r>
              <w:rPr>
                <w:sz w:val="22"/>
                <w:szCs w:val="22"/>
              </w:rPr>
              <w:t xml:space="preserve">Pending resolution of grievance filed due to release for </w:t>
            </w:r>
            <w:r>
              <w:rPr>
                <w:sz w:val="22"/>
                <w:szCs w:val="22"/>
              </w:rPr>
              <w:t>cause, member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service is suspended.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86A5" w14:textId="77777777" w:rsidR="00E70F54" w:rsidRDefault="00E70F54"/>
        </w:tc>
      </w:tr>
      <w:tr w:rsidR="00E70F54" w14:paraId="77ED8D32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706ACA5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2583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Alternative Dispute Resolution (ADR) such as mediation or facilitation</w:t>
            </w:r>
            <w:r>
              <w:rPr>
                <w:rFonts w:hAnsi="Times New Roman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optional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D7D3" w14:textId="77777777" w:rsidR="00E70F54" w:rsidRDefault="00E70F54"/>
        </w:tc>
      </w:tr>
      <w:tr w:rsidR="00E70F54" w14:paraId="4E2A7339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F4EA54E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A223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Initiated within 45 days of occurrence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FBD9" w14:textId="77777777" w:rsidR="00E70F54" w:rsidRDefault="00E70F54"/>
        </w:tc>
      </w:tr>
      <w:tr w:rsidR="00E70F54" w14:paraId="17C932DE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D931ECF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C185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 xml:space="preserve">Initial session member notified in writing of opp. to file grievance &amp; right to </w:t>
            </w:r>
            <w:r>
              <w:rPr>
                <w:sz w:val="22"/>
                <w:szCs w:val="22"/>
              </w:rPr>
              <w:t>arbitration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C862" w14:textId="77777777" w:rsidR="00E70F54" w:rsidRDefault="00E70F54"/>
        </w:tc>
      </w:tr>
      <w:tr w:rsidR="00E70F54" w14:paraId="7B0A1EF6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CB12B45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A785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Aided by neutral party who may not compel a resolution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6EA9" w14:textId="77777777" w:rsidR="00E70F54" w:rsidRDefault="00E70F54"/>
        </w:tc>
      </w:tr>
      <w:tr w:rsidR="00E70F54" w14:paraId="41BEAC8A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E52ADD7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EF4A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Informal process, no rules of evidence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D016" w14:textId="77777777" w:rsidR="00E70F54" w:rsidRDefault="00E70F54"/>
        </w:tc>
      </w:tr>
      <w:tr w:rsidR="00E70F54" w14:paraId="6F6722D6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AEE0E1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47AC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Confidential and not binding unless both parties agree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579E" w14:textId="77777777" w:rsidR="00E70F54" w:rsidRDefault="00E70F54"/>
        </w:tc>
      </w:tr>
      <w:tr w:rsidR="00E70F54" w14:paraId="42015C3B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2B04EC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C70C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If written agreement made, member will forego filing formal grievance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D028" w14:textId="77777777" w:rsidR="00E70F54" w:rsidRDefault="00E70F54"/>
        </w:tc>
      </w:tr>
      <w:tr w:rsidR="00E70F54" w14:paraId="0610737C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93C2B22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A02E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 xml:space="preserve">If not </w:t>
            </w:r>
            <w:r>
              <w:rPr>
                <w:sz w:val="22"/>
                <w:szCs w:val="22"/>
              </w:rPr>
              <w:t>resolved within 30 days, neutral party must again inform member of right to file a formal grievance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BC9C" w14:textId="77777777" w:rsidR="00E70F54" w:rsidRDefault="00E70F54"/>
        </w:tc>
      </w:tr>
      <w:tr w:rsidR="00E70F54" w14:paraId="003B24ED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02B021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D080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Formal Grievance Procedure (FGP)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A0A9" w14:textId="77777777" w:rsidR="00E70F54" w:rsidRDefault="00E70F54"/>
        </w:tc>
      </w:tr>
      <w:tr w:rsidR="00E70F54" w14:paraId="2677AB34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8044E0B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F3CF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Grievance must be made no later than one year after the alleged occurrence unless alleging criminal activity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1F25" w14:textId="77777777" w:rsidR="00E70F54" w:rsidRDefault="00E70F54"/>
        </w:tc>
      </w:tr>
      <w:tr w:rsidR="00E70F54" w14:paraId="1C3A78DF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7EFBEC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F725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Hearing must be held no later than 30 days after the filing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FCEB" w14:textId="77777777" w:rsidR="00E70F54" w:rsidRDefault="00E70F54"/>
        </w:tc>
      </w:tr>
      <w:tr w:rsidR="00E70F54" w14:paraId="04775BD3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A3BD10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3D4D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Decision made within 60 days of filing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8B51" w14:textId="77777777" w:rsidR="00E70F54" w:rsidRDefault="00E70F54"/>
        </w:tc>
      </w:tr>
      <w:tr w:rsidR="00E70F54" w14:paraId="2D53D771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20A665F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379C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Neutral facilitator from ADR may not participate in FGP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2121" w14:textId="77777777" w:rsidR="00E70F54" w:rsidRDefault="00E70F54"/>
        </w:tc>
      </w:tr>
      <w:tr w:rsidR="00E70F54" w14:paraId="488C9CBB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47CC579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6802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No communication or proceedings from ADR will be used in FGP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DF48" w14:textId="77777777" w:rsidR="00E70F54" w:rsidRDefault="00E70F54"/>
        </w:tc>
      </w:tr>
      <w:tr w:rsidR="00E70F54" w14:paraId="2DA5FC55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565880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4312" w14:textId="77777777" w:rsidR="00E70F54" w:rsidRDefault="00B25F29">
            <w:pPr>
              <w:tabs>
                <w:tab w:val="left" w:pos="2520"/>
              </w:tabs>
            </w:pPr>
            <w:r>
              <w:rPr>
                <w:sz w:val="22"/>
                <w:szCs w:val="22"/>
              </w:rPr>
              <w:t>Arbitration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CACC" w14:textId="77777777" w:rsidR="00E70F54" w:rsidRDefault="00E70F54"/>
        </w:tc>
      </w:tr>
      <w:tr w:rsidR="00E70F54" w14:paraId="27EF98E6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3CE050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71BB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 xml:space="preserve">If adverse </w:t>
            </w:r>
            <w:r>
              <w:rPr>
                <w:sz w:val="22"/>
                <w:szCs w:val="22"/>
              </w:rPr>
              <w:t>decision against member or no decision reached after 60 days, the member may submit the grievance to binding arbitration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DAA4" w14:textId="77777777" w:rsidR="00E70F54" w:rsidRDefault="00E70F54"/>
        </w:tc>
      </w:tr>
      <w:tr w:rsidR="00E70F54" w14:paraId="0E5050F4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DC988CC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BA66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The arbitrator is jointly selected and independent of the parties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AF0D" w14:textId="77777777" w:rsidR="00E70F54" w:rsidRDefault="00E70F54"/>
        </w:tc>
      </w:tr>
      <w:tr w:rsidR="00E70F54" w14:paraId="53E1364E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A3E623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3C43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 xml:space="preserve">If parties cannot agree within 15 days, the CNCS will appoint </w:t>
            </w:r>
            <w:r>
              <w:rPr>
                <w:sz w:val="22"/>
                <w:szCs w:val="22"/>
              </w:rPr>
              <w:t>from a list of qualified arbitrators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81DF" w14:textId="77777777" w:rsidR="00E70F54" w:rsidRDefault="00E70F54"/>
        </w:tc>
      </w:tr>
      <w:tr w:rsidR="00E70F54" w14:paraId="59856A67" w14:textId="77777777">
        <w:trPr>
          <w:trHeight w:val="481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1ED3691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F31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Arbitration proceeding must be held no later than 45 days or 30 days after the appointment by the CNCS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BC36" w14:textId="77777777" w:rsidR="00E70F54" w:rsidRDefault="00E70F54"/>
        </w:tc>
      </w:tr>
      <w:tr w:rsidR="00E70F54" w14:paraId="6D2FAA8F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E4FD9A4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5BD2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Decision must be made by arbitrator within 30 days after the arbitration proceedings begin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48DB" w14:textId="77777777" w:rsidR="00E70F54" w:rsidRDefault="00E70F54"/>
        </w:tc>
      </w:tr>
      <w:tr w:rsidR="00E70F54" w14:paraId="5A658BEC" w14:textId="77777777">
        <w:trPr>
          <w:trHeight w:val="250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8AF2836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7329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 xml:space="preserve">The cost of </w:t>
            </w:r>
            <w:r>
              <w:rPr>
                <w:sz w:val="22"/>
                <w:szCs w:val="22"/>
              </w:rPr>
              <w:t>arbitration must be divided evenly by the parties, unless the member prevails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DA0A" w14:textId="77777777" w:rsidR="00E70F54" w:rsidRDefault="00E70F54"/>
        </w:tc>
      </w:tr>
      <w:tr w:rsidR="00E70F54" w14:paraId="73BDE7B2" w14:textId="77777777">
        <w:trPr>
          <w:trHeight w:val="506"/>
        </w:trPr>
        <w:tc>
          <w:tcPr>
            <w:tcW w:w="64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4B5B1DB" w14:textId="77777777" w:rsidR="00E70F54" w:rsidRDefault="00E70F54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DF39" w14:textId="77777777" w:rsidR="00E70F54" w:rsidRDefault="00B25F29">
            <w:pPr>
              <w:tabs>
                <w:tab w:val="left" w:pos="2520"/>
              </w:tabs>
              <w:ind w:left="404"/>
            </w:pPr>
            <w:r>
              <w:rPr>
                <w:sz w:val="22"/>
                <w:szCs w:val="22"/>
              </w:rPr>
              <w:t>If the member prevails, the program will pay the total cost of the proceeding and the member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attorney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fees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5E2F" w14:textId="77777777" w:rsidR="00E70F54" w:rsidRDefault="00E70F54"/>
        </w:tc>
      </w:tr>
      <w:tr w:rsidR="00E70F54" w14:paraId="7A2D02DE" w14:textId="77777777">
        <w:trPr>
          <w:trHeight w:val="1668"/>
        </w:trPr>
        <w:tc>
          <w:tcPr>
            <w:tcW w:w="648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76E8176" w14:textId="77777777" w:rsidR="00E70F54" w:rsidRDefault="00B25F29">
            <w:pPr>
              <w:tabs>
                <w:tab w:val="left" w:pos="2520"/>
              </w:tabs>
              <w:ind w:left="113" w:right="113"/>
            </w:pPr>
            <w:r>
              <w:rPr>
                <w:b/>
                <w:bCs/>
              </w:rPr>
              <w:t>COMMENTS</w:t>
            </w:r>
          </w:p>
        </w:tc>
        <w:tc>
          <w:tcPr>
            <w:tcW w:w="10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77FD" w14:textId="77777777" w:rsidR="00E70F54" w:rsidRDefault="00E70F54"/>
        </w:tc>
      </w:tr>
    </w:tbl>
    <w:p w14:paraId="2BD3F64F" w14:textId="77777777" w:rsidR="00E70F54" w:rsidRDefault="00E70F54">
      <w:pPr>
        <w:widowControl w:val="0"/>
        <w:rPr>
          <w:sz w:val="8"/>
          <w:szCs w:val="8"/>
        </w:rPr>
      </w:pPr>
    </w:p>
    <w:p w14:paraId="7D9D11AF" w14:textId="77777777" w:rsidR="00E70F54" w:rsidRDefault="00E70F54">
      <w:pPr>
        <w:jc w:val="both"/>
        <w:rPr>
          <w:i/>
          <w:iCs/>
          <w:sz w:val="10"/>
          <w:szCs w:val="10"/>
          <w:u w:val="single"/>
        </w:rPr>
      </w:pPr>
    </w:p>
    <w:p w14:paraId="0DBC5060" w14:textId="77777777" w:rsidR="00E70F54" w:rsidRDefault="00B25F29">
      <w:pPr>
        <w:jc w:val="both"/>
      </w:pPr>
      <w:r>
        <w:rPr>
          <w:b/>
          <w:bCs/>
        </w:rPr>
        <w:t xml:space="preserve">Reviewed by: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t>____________________________________________</w:t>
      </w:r>
      <w:r>
        <w:rPr>
          <w:b/>
          <w:bCs/>
        </w:rPr>
        <w:tab/>
        <w:t>Date: ___________________</w:t>
      </w:r>
      <w:r>
        <w:rPr>
          <w:sz w:val="8"/>
          <w:szCs w:val="8"/>
        </w:rPr>
        <w:br w:type="page"/>
      </w:r>
    </w:p>
    <w:p w14:paraId="0C6438A3" w14:textId="77777777" w:rsidR="00E70F54" w:rsidRDefault="00B25F29">
      <w:pPr>
        <w:jc w:val="both"/>
      </w:pPr>
      <w:r>
        <w:rPr>
          <w:sz w:val="8"/>
          <w:szCs w:val="8"/>
        </w:rPr>
        <w:lastRenderedPageBreak/>
        <w:br w:type="page"/>
      </w:r>
    </w:p>
    <w:p w14:paraId="7BDD7CCF" w14:textId="77777777" w:rsidR="00E70F54" w:rsidRDefault="00B25F29">
      <w:pPr>
        <w:jc w:val="both"/>
      </w:pPr>
      <w:r>
        <w:rPr>
          <w:sz w:val="8"/>
          <w:szCs w:val="8"/>
        </w:rPr>
        <w:lastRenderedPageBreak/>
        <w:br w:type="page"/>
      </w:r>
    </w:p>
    <w:p w14:paraId="7B0A08DB" w14:textId="77777777" w:rsidR="00E70F54" w:rsidRDefault="00B25F29">
      <w:pPr>
        <w:jc w:val="both"/>
      </w:pPr>
      <w:r>
        <w:rPr>
          <w:sz w:val="8"/>
          <w:szCs w:val="8"/>
        </w:rPr>
        <w:lastRenderedPageBreak/>
        <w:br w:type="page"/>
      </w:r>
    </w:p>
    <w:p w14:paraId="4B02BCE8" w14:textId="77777777" w:rsidR="00E70F54" w:rsidRDefault="00E70F54">
      <w:pPr>
        <w:jc w:val="both"/>
      </w:pPr>
    </w:p>
    <w:sectPr w:rsidR="00E70F54">
      <w:headerReference w:type="default" r:id="rId10"/>
      <w:footerReference w:type="default" r:id="rId11"/>
      <w:pgSz w:w="12240" w:h="15840"/>
      <w:pgMar w:top="720" w:right="720" w:bottom="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265C3" w14:textId="77777777" w:rsidR="00000000" w:rsidRDefault="00B25F29">
      <w:r>
        <w:separator/>
      </w:r>
    </w:p>
  </w:endnote>
  <w:endnote w:type="continuationSeparator" w:id="0">
    <w:p w14:paraId="51DFCA41" w14:textId="77777777" w:rsidR="00000000" w:rsidRDefault="00B2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A6A2" w14:textId="2231BA40" w:rsidR="00E70F54" w:rsidRDefault="00B25F29">
    <w:pPr>
      <w:pStyle w:val="Footer"/>
      <w:jc w:val="right"/>
    </w:pPr>
    <w:r>
      <w:rPr>
        <w:rFonts w:ascii="Arial Narrow" w:eastAsia="Arial Narrow" w:hAnsi="Arial Narrow" w:cs="Arial Narrow"/>
        <w:sz w:val="20"/>
        <w:szCs w:val="20"/>
      </w:rPr>
      <w:fldChar w:fldCharType="begin"/>
    </w:r>
    <w:r>
      <w:rPr>
        <w:rFonts w:ascii="Arial Narrow" w:eastAsia="Arial Narrow" w:hAnsi="Arial Narrow" w:cs="Arial Narrow"/>
        <w:sz w:val="20"/>
        <w:szCs w:val="20"/>
      </w:rPr>
      <w:instrText xml:space="preserve"> PAGE </w:instrText>
    </w:r>
    <w:r>
      <w:rPr>
        <w:rFonts w:ascii="Arial Narrow" w:eastAsia="Arial Narrow" w:hAnsi="Arial Narrow" w:cs="Arial Narrow"/>
        <w:sz w:val="20"/>
        <w:szCs w:val="20"/>
      </w:rPr>
      <w:fldChar w:fldCharType="separate"/>
    </w:r>
    <w:r>
      <w:rPr>
        <w:rFonts w:ascii="Arial Narrow" w:eastAsia="Arial Narrow" w:hAnsi="Arial Narrow" w:cs="Arial Narrow"/>
        <w:noProof/>
        <w:sz w:val="20"/>
        <w:szCs w:val="20"/>
      </w:rPr>
      <w:t>3</w:t>
    </w:r>
    <w:r>
      <w:rPr>
        <w:rFonts w:ascii="Arial Narrow" w:eastAsia="Arial Narrow" w:hAnsi="Arial Narrow" w:cs="Arial Narrow"/>
        <w:sz w:val="20"/>
        <w:szCs w:val="20"/>
      </w:rPr>
      <w:fldChar w:fldCharType="end"/>
    </w:r>
    <w:r>
      <w:rPr>
        <w:rFonts w:ascii="Arial Narrow" w:eastAsia="Arial Narrow" w:hAnsi="Arial Narrow" w:cs="Arial Narrow"/>
        <w:sz w:val="20"/>
        <w:szCs w:val="20"/>
      </w:rPr>
      <w:tab/>
      <w:t>July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9D42" w14:textId="77777777" w:rsidR="00000000" w:rsidRDefault="00B25F29">
      <w:r>
        <w:separator/>
      </w:r>
    </w:p>
  </w:footnote>
  <w:footnote w:type="continuationSeparator" w:id="0">
    <w:p w14:paraId="71DB1198" w14:textId="77777777" w:rsidR="00000000" w:rsidRDefault="00B2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2320" w14:textId="77777777" w:rsidR="00E70F54" w:rsidRDefault="00B25F29">
    <w:pPr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inline distT="0" distB="0" distL="0" distR="0" wp14:anchorId="38B0724D" wp14:editId="641DBF93">
          <wp:extent cx="1523101" cy="10789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ASC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01" cy="10789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374024" w14:textId="77777777" w:rsidR="00E70F54" w:rsidRDefault="00B25F29">
    <w:r>
      <w:rPr>
        <w:i/>
        <w:iCs/>
        <w:sz w:val="20"/>
        <w:szCs w:val="20"/>
      </w:rPr>
      <w:t>ASC Tools and Templates</w:t>
    </w:r>
    <w:r>
      <w:rPr>
        <w:i/>
        <w:iCs/>
        <w:sz w:val="20"/>
        <w:szCs w:val="20"/>
      </w:rPr>
      <w:br/>
    </w:r>
    <w:r>
      <w:rPr>
        <w:i/>
        <w:iCs/>
        <w:sz w:val="20"/>
        <w:szCs w:val="20"/>
      </w:rPr>
      <w:t>August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4"/>
    <w:rsid w:val="00405C79"/>
    <w:rsid w:val="00B25F29"/>
    <w:rsid w:val="00E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1DF6"/>
  <w15:docId w15:val="{A89E4DA2-CBD2-49E7-A9D6-F0EA8336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7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bruns@asc-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6" ma:contentTypeDescription="Create a new document." ma:contentTypeScope="" ma:versionID="73c913c8387708e93c26e533671a091c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8c054467e18aa44275c89311504dfbbe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9D6D1-FFC6-4777-8772-E10CFBEB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3f392bba-b4b4-4cdd-992b-3a29b4cb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80FBF-3613-4CFD-8FF5-14C883ED0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BC202-E326-40E3-A28F-60A3F33B3295}">
  <ds:schemaRefs>
    <ds:schemaRef ds:uri="89d6f49f-0971-4483-baf3-e749a31a233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f392bba-b4b4-4cdd-992b-3a29b4cba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Dickey</dc:creator>
  <cp:lastModifiedBy>Laura Dickey</cp:lastModifiedBy>
  <cp:revision>2</cp:revision>
  <cp:lastPrinted>2017-07-31T17:14:00Z</cp:lastPrinted>
  <dcterms:created xsi:type="dcterms:W3CDTF">2017-07-31T17:21:00Z</dcterms:created>
  <dcterms:modified xsi:type="dcterms:W3CDTF">2017-07-31T17:21:00Z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